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1E74F17A"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9C1422">
                                  <w:rPr>
                                    <w:rFonts w:cs="Arial"/>
                                    <w:b/>
                                    <w:color w:val="auto"/>
                                    <w:sz w:val="40"/>
                                    <w:szCs w:val="56"/>
                                  </w:rPr>
                                  <w:t>Cisco TAC-</w:t>
                                </w:r>
                                <w:r w:rsidR="009C1422">
                                  <w:rPr>
                                    <w:rFonts w:cs="Arial"/>
                                    <w:b/>
                                    <w:color w:val="auto"/>
                                    <w:sz w:val="40"/>
                                    <w:szCs w:val="56"/>
                                    <w:lang w:val="ka-GE"/>
                                  </w:rPr>
                                  <w:t>ის</w:t>
                                </w:r>
                                <w:r w:rsidR="006150AD">
                                  <w:rPr>
                                    <w:rFonts w:cs="Arial"/>
                                    <w:b/>
                                    <w:color w:val="auto"/>
                                    <w:sz w:val="40"/>
                                    <w:szCs w:val="56"/>
                                    <w:lang w:val="ka-GE"/>
                                  </w:rPr>
                                  <w:t xml:space="preserve">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1E74F17A"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9C1422">
                            <w:rPr>
                              <w:rFonts w:cs="Arial"/>
                              <w:b/>
                              <w:color w:val="auto"/>
                              <w:sz w:val="40"/>
                              <w:szCs w:val="56"/>
                            </w:rPr>
                            <w:t>Cisco TAC-</w:t>
                          </w:r>
                          <w:r w:rsidR="009C1422">
                            <w:rPr>
                              <w:rFonts w:cs="Arial"/>
                              <w:b/>
                              <w:color w:val="auto"/>
                              <w:sz w:val="40"/>
                              <w:szCs w:val="56"/>
                              <w:lang w:val="ka-GE"/>
                            </w:rPr>
                            <w:t>ის</w:t>
                          </w:r>
                          <w:r w:rsidR="006150AD">
                            <w:rPr>
                              <w:rFonts w:cs="Arial"/>
                              <w:b/>
                              <w:color w:val="auto"/>
                              <w:sz w:val="40"/>
                              <w:szCs w:val="56"/>
                              <w:lang w:val="ka-GE"/>
                            </w:rPr>
                            <w:t xml:space="preserve">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DFCC306" w:rsidR="006F3955" w:rsidRDefault="009C1422" w:rsidP="007C5AE6">
                                      <w:pPr>
                                        <w:rPr>
                                          <w:lang w:val="ka-GE"/>
                                        </w:rPr>
                                      </w:pPr>
                                      <w:r>
                                        <w:rPr>
                                          <w:lang w:val="ka-GE"/>
                                        </w:rPr>
                                        <w:t>12</w:t>
                                      </w:r>
                                      <w:r w:rsidR="00F410A6">
                                        <w:rPr>
                                          <w:lang w:val="ka-GE"/>
                                        </w:rPr>
                                        <w:t xml:space="preserve">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3A16A252" w:rsidR="006F3955" w:rsidRPr="00415C7C" w:rsidRDefault="0068622A" w:rsidP="006B6CEB">
                                      <w:pPr>
                                        <w:rPr>
                                          <w:lang w:val="ka-GE"/>
                                        </w:rPr>
                                      </w:pPr>
                                      <w:r>
                                        <w:rPr>
                                          <w:lang w:val="ka-GE"/>
                                        </w:rPr>
                                        <w:t>24</w:t>
                                      </w:r>
                                      <w:bookmarkStart w:id="0" w:name="_GoBack"/>
                                      <w:bookmarkEnd w:id="0"/>
                                      <w:r w:rsidR="004879F2">
                                        <w:rPr>
                                          <w:lang w:val="ka-GE"/>
                                        </w:rPr>
                                        <w:t xml:space="preserve">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8622A"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14.7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I4i38CAABqBQAADgAAAGRycy9lMm9Eb2MueG1srFTdT9swEH+ftP/B8vtIWloGVVPUgZgmIUCD&#10;iWfXsWk0x+fZ1ybdX8/ZSdqK7YVpL8n57nffH/PLtjZsq3yowBZ8dJJzpqyEsrIvBf/xdPPpnLOA&#10;wpbCgFUF36nALxcfP8wbN1NjWIMplWdkxIZZ4wq+RnSzLAtyrWoRTsApS0INvhZIT/+SlV40ZL02&#10;2TjPz7IGfOk8SBUCca87IV8k+1orifdaB4XMFJxiw/T16buK32wxF7MXL9y6kn0Y4h+iqEVlyene&#10;1LVAwTa++sNUXUkPATSeSKgz0LqSKuVA2YzyN9k8roVTKRcqTnD7MoX/Z1bebR88q8qCTzizoqYW&#10;PakW2Rdo2SRWp3FhRqBHRzBsiU1dHviBmDHpVvs6/ikdRnKq825f22hMEvPsfHqe5ySSJBtNTy/G&#10;k1T97KDufMCvCmoWiYJ7al6qqdjeBqRQCDpAojcLN5UxqYHGsoZcnE7zpLCXkIaxEavSKPRmYkpd&#10;6InCnVERY+x3pakUKYPISEOoroxnW0HjI6RUFlPyyS6hI0pTEO9R7PGHqN6j3OUxeAaLe+W6suBT&#10;9m/CLn8OIesOT4U8yjuS2K7aNAP7zq6g3FHDPXQLE5y8qagptyLgg/C0IdRI2nq8p482QMWHnuJs&#10;Df733/gRT4NLUs4a2riCh18b4RVn5pulkb4YTWgkGKbHZPp5TA9/LFkdS+ymvgLqyojui5OJjHg0&#10;A6k91M90HJbRK4mEleS74DiQV9jdATouUi2XCURL6QTe2kcno+nYpDhyT+2z8K6fS6SRvoNhN8Xs&#10;zXh22KhpYblB0FWa3Vjnrqp9/Wmh00j3xydejON3Qh1O5OIVAAD//wMAUEsDBBQABgAIAAAAIQAl&#10;utFT5AAAAA0BAAAPAAAAZHJzL2Rvd25yZXYueG1sTI/BbsIwDIbvk/YOkSftBgkdZVCaIlQJTZq2&#10;A4zLbmlj2orG6ZoA3Z5+6Wm72fKn39+fbgbTsiv2rrEkYTYVwJBKqxuqJBw/dpMlMOcVadVaQgnf&#10;6GCT3d+lKtH2Rnu8HnzFQgi5REmove8Szl1Zo1FuajukcDvZ3igf1r7iule3EG5aHgmx4EY1FD7U&#10;qsO8xvJ8uBgJr/nuXe2LyCx/2vzl7bTtvo6fsZSPD8N2Dczj4P9gGPWDOmTBqbAX0o61EibRah5Q&#10;Cc+raAZsJEQsFsCKcXqax8CzlP9vkf0CAAD//wMAUEsBAi0AFAAGAAgAAAAhAOSZw8D7AAAA4QEA&#10;ABMAAAAAAAAAAAAAAAAAAAAAAFtDb250ZW50X1R5cGVzXS54bWxQSwECLQAUAAYACAAAACEAI7Jq&#10;4dcAAACUAQAACwAAAAAAAAAAAAAAAAAsAQAAX3JlbHMvLnJlbHNQSwECLQAUAAYACAAAACEA7vI4&#10;i38CAABqBQAADgAAAAAAAAAAAAAAAAAsAgAAZHJzL2Uyb0RvYy54bWxQSwECLQAUAAYACAAAACEA&#10;JbrRU+QAAAANAQAADwAAAAAAAAAAAAAAAADXBAAAZHJzL2Rvd25yZXYueG1sUEsFBgAAAAAEAAQA&#10;8wAAAOgFA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DFCC306" w:rsidR="006F3955" w:rsidRDefault="009C1422" w:rsidP="007C5AE6">
                                <w:pPr>
                                  <w:rPr>
                                    <w:lang w:val="ka-GE"/>
                                  </w:rPr>
                                </w:pPr>
                                <w:r>
                                  <w:rPr>
                                    <w:lang w:val="ka-GE"/>
                                  </w:rPr>
                                  <w:t>12</w:t>
                                </w:r>
                                <w:r w:rsidR="00F410A6">
                                  <w:rPr>
                                    <w:lang w:val="ka-GE"/>
                                  </w:rPr>
                                  <w:t xml:space="preserve">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3A16A252" w:rsidR="006F3955" w:rsidRPr="00415C7C" w:rsidRDefault="0068622A" w:rsidP="006B6CEB">
                                <w:pPr>
                                  <w:rPr>
                                    <w:lang w:val="ka-GE"/>
                                  </w:rPr>
                                </w:pPr>
                                <w:r>
                                  <w:rPr>
                                    <w:lang w:val="ka-GE"/>
                                  </w:rPr>
                                  <w:t>24</w:t>
                                </w:r>
                                <w:bookmarkStart w:id="1" w:name="_GoBack"/>
                                <w:bookmarkEnd w:id="1"/>
                                <w:r w:rsidR="004879F2">
                                  <w:rPr>
                                    <w:lang w:val="ka-GE"/>
                                  </w:rPr>
                                  <w:t xml:space="preserve">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8622A"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2" w:name="_Toc456350217"/>
      <w:bookmarkStart w:id="3"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3E8C8FB7" w14:textId="77777777" w:rsidR="009C1422" w:rsidRPr="007878E8" w:rsidRDefault="009C1422" w:rsidP="009C1422">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rPr>
        <w:t>Cisco TAC-</w:t>
      </w:r>
      <w:r>
        <w:rPr>
          <w:rFonts w:cs="Arial"/>
          <w:b/>
          <w:color w:val="auto"/>
          <w:sz w:val="40"/>
          <w:szCs w:val="56"/>
          <w:lang w:val="ka-GE"/>
        </w:rPr>
        <w:t xml:space="preserve">ის  </w:t>
      </w:r>
      <w:r>
        <w:rPr>
          <w:rFonts w:cs="Arial"/>
          <w:b/>
          <w:color w:val="auto"/>
          <w:sz w:val="40"/>
          <w:szCs w:val="56"/>
        </w:rPr>
        <w:t xml:space="preserve"> </w:t>
      </w:r>
      <w:r>
        <w:rPr>
          <w:rFonts w:cs="Arial"/>
          <w:b/>
          <w:color w:val="auto"/>
          <w:sz w:val="40"/>
          <w:szCs w:val="56"/>
          <w:lang w:val="ka-GE"/>
        </w:rPr>
        <w:t>შესყიდვაზე</w:t>
      </w:r>
    </w:p>
    <w:p w14:paraId="5B420DE5" w14:textId="5D3E5C61" w:rsidR="00BE6145" w:rsidRDefault="00BE6145" w:rsidP="00BE6145">
      <w:pPr>
        <w:jc w:val="center"/>
        <w:rPr>
          <w:rFonts w:cs="Arial"/>
          <w:b/>
          <w:color w:val="auto"/>
          <w:sz w:val="40"/>
          <w:szCs w:val="56"/>
          <w:lang w:val="ka-GE"/>
        </w:rPr>
      </w:pP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68622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68622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B6BE319" w:rsidR="007E3709" w:rsidRDefault="0068622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 xml:space="preserve">დანართი1: </w:t>
            </w:r>
            <w:r w:rsidR="009C1422">
              <w:rPr>
                <w:rStyle w:val="Hyperlink"/>
                <w:rFonts w:cs="Sylfaen"/>
                <w:noProof/>
                <w:lang w:val="ka-GE"/>
              </w:rPr>
              <w:t>ტექნიკური დავალება</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68622A">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22227845"/>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029655FC" w:rsidR="00C525A4" w:rsidRDefault="00C525A4" w:rsidP="00C525A4">
      <w:pPr>
        <w:rPr>
          <w:rFonts w:eastAsiaTheme="minorEastAsia"/>
          <w:lang w:eastAsia="ja-JP"/>
        </w:rPr>
      </w:pPr>
      <w:r w:rsidRPr="00BF7F13">
        <w:rPr>
          <w:rFonts w:eastAsiaTheme="minorEastAsia"/>
          <w:lang w:val="ka-GE" w:eastAsia="ja-JP"/>
        </w:rPr>
        <w:t>ტენ</w:t>
      </w:r>
      <w:r w:rsidR="009C1422">
        <w:rPr>
          <w:rFonts w:eastAsiaTheme="minorEastAsia"/>
          <w:lang w:val="ka-GE" w:eastAsia="ja-JP"/>
        </w:rPr>
        <w:t>დ</w:t>
      </w:r>
      <w:r w:rsidRPr="00BF7F13">
        <w:rPr>
          <w:rFonts w:eastAsiaTheme="minorEastAsia"/>
          <w:lang w:val="ka-GE" w:eastAsia="ja-JP"/>
        </w:rPr>
        <w:t xml:space="preserve">ერში მონაწილეობის მისაღებად აუცილებელია ორგანიზაციამ </w:t>
      </w:r>
      <w:r w:rsidR="009C1422">
        <w:rPr>
          <w:rFonts w:eastAsiaTheme="minorEastAsia"/>
          <w:lang w:val="ka-GE" w:eastAsia="ja-JP"/>
        </w:rPr>
        <w:t>ტექნიკურ დავალებაზე დაყრდნობით ატვირთოს ინვოისი, მომსახურების სრული ღირებულებით</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22227846"/>
      <w:r w:rsidRPr="00BF7F13">
        <w:rPr>
          <w:rFonts w:eastAsiaTheme="majorEastAsia" w:cstheme="majorBidi"/>
          <w:b/>
          <w:color w:val="FF671B"/>
          <w:sz w:val="24"/>
          <w:szCs w:val="28"/>
          <w:lang w:val="ka-GE" w:eastAsia="ja-JP"/>
        </w:rPr>
        <w:t>სატენდერო მოთხოვნები</w:t>
      </w:r>
      <w:bookmarkEnd w:id="7"/>
      <w:bookmarkEnd w:id="8"/>
    </w:p>
    <w:p w14:paraId="2293A609" w14:textId="2C07768D"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9C1422">
        <w:rPr>
          <w:rFonts w:cs="Sylfaen"/>
          <w:lang w:val="ka-GE"/>
        </w:rPr>
        <w:t>ერთი წლის განმავლობაში</w:t>
      </w:r>
      <w:r w:rsidR="00395EE5">
        <w:rPr>
          <w:rFonts w:cs="Sylfaen"/>
          <w:lang w:val="ka-GE"/>
        </w:rPr>
        <w:t>;</w:t>
      </w:r>
    </w:p>
    <w:p w14:paraId="799C44A3" w14:textId="0A7B4BA0"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w:t>
      </w:r>
      <w:r w:rsidR="009C1422">
        <w:rPr>
          <w:rFonts w:cs="Sylfaen"/>
        </w:rPr>
        <w:t>MAF</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22227847"/>
      <w:r w:rsidRPr="00D140FB">
        <w:rPr>
          <w:rFonts w:eastAsiaTheme="majorEastAsia" w:cstheme="majorBidi"/>
          <w:b/>
          <w:color w:val="FF671B"/>
          <w:sz w:val="24"/>
          <w:szCs w:val="28"/>
          <w:lang w:val="ka-GE" w:eastAsia="ja-JP"/>
        </w:rPr>
        <w:t>დამატებითი ინფორმაცია:</w:t>
      </w:r>
      <w:bookmarkEnd w:id="9"/>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 xml:space="preserve">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w:t>
      </w:r>
      <w:r w:rsidRPr="00BF7F13">
        <w:rPr>
          <w:lang w:val="ka-GE"/>
        </w:rPr>
        <w:lastRenderedPageBreak/>
        <w:t>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6"/>
    <w:p w14:paraId="54BD3245" w14:textId="6AAA33BA" w:rsidR="00C50B02" w:rsidRDefault="00C50B02">
      <w:pPr>
        <w:jc w:val="left"/>
        <w:rPr>
          <w:rFonts w:eastAsiaTheme="minorEastAsia"/>
          <w:lang w:eastAsia="ja-JP"/>
        </w:rPr>
      </w:pPr>
      <w:r>
        <w:br w:type="page"/>
      </w:r>
    </w:p>
    <w:p w14:paraId="6CEF9BD6" w14:textId="04B0B462" w:rsidR="00831E4A" w:rsidRPr="009C1422"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 xml:space="preserve">დანართი1: </w:t>
      </w:r>
      <w:r w:rsidR="009C1422">
        <w:rPr>
          <w:rFonts w:eastAsiaTheme="minorHAnsi" w:cs="Sylfaen"/>
          <w:color w:val="231F20"/>
          <w:sz w:val="22"/>
          <w:szCs w:val="20"/>
          <w:lang w:eastAsia="en-US"/>
        </w:rPr>
        <w:t>ტექნიკური დავალება</w:t>
      </w:r>
    </w:p>
    <w:p w14:paraId="1E8F461B" w14:textId="77777777" w:rsidR="00850BA8" w:rsidRDefault="00850BA8" w:rsidP="00850BA8">
      <w:pPr>
        <w:pStyle w:val="NoSpacing"/>
      </w:pPr>
    </w:p>
    <w:p w14:paraId="78DFB6E9" w14:textId="77777777" w:rsidR="009C1422" w:rsidRDefault="009C1422" w:rsidP="009C1422">
      <w:pPr>
        <w:pStyle w:val="ListParagraph"/>
        <w:numPr>
          <w:ilvl w:val="0"/>
          <w:numId w:val="24"/>
        </w:numPr>
        <w:tabs>
          <w:tab w:val="left" w:pos="435"/>
        </w:tabs>
        <w:spacing w:after="60"/>
        <w:ind w:left="342" w:hanging="342"/>
        <w:contextualSpacing w:val="0"/>
        <w:rPr>
          <w:noProof/>
          <w:sz w:val="14"/>
          <w:szCs w:val="14"/>
          <w:lang w:val="ka-GE"/>
        </w:rPr>
      </w:pPr>
      <w:r>
        <w:rPr>
          <w:bCs/>
          <w:noProof/>
          <w:sz w:val="14"/>
          <w:szCs w:val="14"/>
          <w:lang w:val="ka-GE"/>
        </w:rPr>
        <w:t>უზრუნველყოს</w:t>
      </w:r>
      <w:r>
        <w:rPr>
          <w:b/>
          <w:bCs/>
          <w:noProof/>
          <w:sz w:val="14"/>
          <w:szCs w:val="14"/>
          <w:lang w:val="ka-GE"/>
        </w:rPr>
        <w:t xml:space="preserve"> ბანკი</w:t>
      </w:r>
      <w:r>
        <w:rPr>
          <w:noProof/>
          <w:sz w:val="14"/>
          <w:szCs w:val="14"/>
          <w:lang w:val="ka-GE"/>
        </w:rPr>
        <w:t xml:space="preserve"> მხარდაჭერის გუნდისა და ინციდენტების მენეჯმენტის სერვისით, რაც გულისხმობს შემდეგს:</w:t>
      </w:r>
    </w:p>
    <w:p w14:paraId="3978F72A" w14:textId="77777777" w:rsidR="009C1422" w:rsidRDefault="009C1422" w:rsidP="009C1422">
      <w:pPr>
        <w:pStyle w:val="ListParagraph"/>
        <w:numPr>
          <w:ilvl w:val="1"/>
          <w:numId w:val="24"/>
        </w:numPr>
        <w:tabs>
          <w:tab w:val="left" w:pos="435"/>
        </w:tabs>
        <w:spacing w:after="60"/>
        <w:ind w:left="342" w:hanging="342"/>
        <w:contextualSpacing w:val="0"/>
        <w:rPr>
          <w:noProof/>
          <w:sz w:val="14"/>
          <w:szCs w:val="14"/>
          <w:lang w:val="ka-GE"/>
        </w:rPr>
      </w:pPr>
      <w:r>
        <w:rPr>
          <w:b/>
          <w:bCs/>
          <w:noProof/>
          <w:sz w:val="14"/>
          <w:szCs w:val="14"/>
          <w:lang w:val="ka-GE"/>
        </w:rPr>
        <w:t>კონტრაჰენტის</w:t>
      </w:r>
      <w:r>
        <w:rPr>
          <w:noProof/>
          <w:sz w:val="14"/>
          <w:szCs w:val="14"/>
          <w:lang w:val="ka-GE"/>
        </w:rPr>
        <w:t xml:space="preserve"> მიერ სპეციალურად გამოყოფილი </w:t>
      </w:r>
      <w:r>
        <w:rPr>
          <w:b/>
          <w:bCs/>
          <w:noProof/>
          <w:sz w:val="14"/>
          <w:szCs w:val="14"/>
          <w:lang w:val="ka-GE"/>
        </w:rPr>
        <w:t xml:space="preserve">ინჟინერი </w:t>
      </w:r>
      <w:r>
        <w:rPr>
          <w:bCs/>
          <w:noProof/>
          <w:sz w:val="14"/>
          <w:szCs w:val="14"/>
          <w:lang w:val="ka-GE"/>
        </w:rPr>
        <w:t xml:space="preserve">- </w:t>
      </w:r>
      <w:r>
        <w:rPr>
          <w:noProof/>
          <w:sz w:val="14"/>
          <w:szCs w:val="14"/>
          <w:lang w:val="ka-GE"/>
        </w:rPr>
        <w:t xml:space="preserve">„High-Touch System Engineer“ (შემდგომში - </w:t>
      </w:r>
      <w:r>
        <w:rPr>
          <w:b/>
          <w:bCs/>
          <w:noProof/>
          <w:sz w:val="14"/>
          <w:szCs w:val="14"/>
          <w:lang w:val="ka-GE"/>
        </w:rPr>
        <w:t>„ინჟინერი“</w:t>
      </w:r>
      <w:r>
        <w:rPr>
          <w:noProof/>
          <w:sz w:val="14"/>
          <w:szCs w:val="14"/>
          <w:lang w:val="ka-GE"/>
        </w:rPr>
        <w:t xml:space="preserve">), რომელიც იცნობს </w:t>
      </w:r>
      <w:r>
        <w:rPr>
          <w:b/>
          <w:bCs/>
          <w:noProof/>
          <w:sz w:val="14"/>
          <w:szCs w:val="14"/>
          <w:lang w:val="ka-GE"/>
        </w:rPr>
        <w:t>ბანკის</w:t>
      </w:r>
      <w:r>
        <w:rPr>
          <w:noProof/>
          <w:sz w:val="14"/>
          <w:szCs w:val="14"/>
          <w:lang w:val="ka-GE"/>
        </w:rPr>
        <w:t xml:space="preserve"> ქსელს და იღებს </w:t>
      </w:r>
      <w:r>
        <w:rPr>
          <w:b/>
          <w:bCs/>
          <w:noProof/>
          <w:sz w:val="14"/>
          <w:szCs w:val="14"/>
          <w:lang w:val="ka-GE"/>
        </w:rPr>
        <w:t>ბანკის</w:t>
      </w:r>
      <w:r>
        <w:rPr>
          <w:noProof/>
          <w:sz w:val="14"/>
          <w:szCs w:val="14"/>
          <w:lang w:val="ka-GE"/>
        </w:rPr>
        <w:t xml:space="preserve"> ყველა შეკითხვას/მოთხოვნას, განიხილავს მათ და აუცილებლობის შემთხვევაში, ხსნის ქეისს „Cisco”-ოს “TAC”-ში (Technical Assitance Centre - ტექნიკური მხარდაჭერის ცენტრი). ამასთან, ანხორციელებს „Cisco“-ს „TAC“-ის სხვადასხვა ქვედანაყოფებსა და </w:t>
      </w:r>
      <w:r>
        <w:rPr>
          <w:b/>
          <w:bCs/>
          <w:noProof/>
          <w:sz w:val="14"/>
          <w:szCs w:val="14"/>
          <w:lang w:val="ka-GE"/>
        </w:rPr>
        <w:t>ბანკის</w:t>
      </w:r>
      <w:r>
        <w:rPr>
          <w:noProof/>
          <w:sz w:val="14"/>
          <w:szCs w:val="14"/>
          <w:lang w:val="ka-GE"/>
        </w:rPr>
        <w:t xml:space="preserve"> სპეციალისტებს შორის მუშაობის კოორდინირებას. იმ შემთხვევაში, თუ </w:t>
      </w:r>
      <w:r>
        <w:rPr>
          <w:b/>
          <w:bCs/>
          <w:noProof/>
          <w:sz w:val="14"/>
          <w:szCs w:val="14"/>
          <w:lang w:val="ka-GE"/>
        </w:rPr>
        <w:t>ბანკი</w:t>
      </w:r>
      <w:r>
        <w:rPr>
          <w:noProof/>
          <w:sz w:val="14"/>
          <w:szCs w:val="14"/>
          <w:lang w:val="ka-GE"/>
        </w:rPr>
        <w:t xml:space="preserve"> ვერ შეძლებს </w:t>
      </w:r>
      <w:r>
        <w:rPr>
          <w:b/>
          <w:bCs/>
          <w:noProof/>
          <w:sz w:val="14"/>
          <w:szCs w:val="14"/>
          <w:lang w:val="ka-GE"/>
        </w:rPr>
        <w:t>ინჟინერთან</w:t>
      </w:r>
      <w:r>
        <w:rPr>
          <w:noProof/>
          <w:sz w:val="14"/>
          <w:szCs w:val="14"/>
          <w:lang w:val="ka-GE"/>
        </w:rPr>
        <w:t xml:space="preserve"> დაკავშირებას, ამ უკანასკნელის პასუხისმგებლობებს იკისრებს </w:t>
      </w:r>
      <w:r>
        <w:rPr>
          <w:bCs/>
          <w:noProof/>
          <w:sz w:val="14"/>
          <w:szCs w:val="14"/>
          <w:lang w:val="ka-GE"/>
        </w:rPr>
        <w:t>სათადარიგო</w:t>
      </w:r>
      <w:r>
        <w:rPr>
          <w:noProof/>
          <w:sz w:val="14"/>
          <w:szCs w:val="14"/>
          <w:lang w:val="ka-GE"/>
        </w:rPr>
        <w:t xml:space="preserve"> </w:t>
      </w:r>
      <w:r>
        <w:rPr>
          <w:b/>
          <w:bCs/>
          <w:noProof/>
          <w:sz w:val="14"/>
          <w:szCs w:val="14"/>
          <w:lang w:val="ka-GE"/>
        </w:rPr>
        <w:t xml:space="preserve">ინჟინერი </w:t>
      </w:r>
      <w:r>
        <w:rPr>
          <w:noProof/>
          <w:sz w:val="14"/>
          <w:szCs w:val="14"/>
          <w:lang w:val="ka-GE"/>
        </w:rPr>
        <w:t xml:space="preserve">(შემდგომში - </w:t>
      </w:r>
      <w:r>
        <w:rPr>
          <w:bCs/>
          <w:noProof/>
          <w:sz w:val="14"/>
          <w:szCs w:val="14"/>
          <w:lang w:val="ka-GE"/>
        </w:rPr>
        <w:t>„</w:t>
      </w:r>
      <w:r>
        <w:rPr>
          <w:b/>
          <w:bCs/>
          <w:noProof/>
          <w:sz w:val="14"/>
          <w:szCs w:val="14"/>
          <w:lang w:val="ka-GE"/>
        </w:rPr>
        <w:t>სათადარიგო ინჟინერი</w:t>
      </w:r>
      <w:r>
        <w:rPr>
          <w:bCs/>
          <w:noProof/>
          <w:sz w:val="14"/>
          <w:szCs w:val="14"/>
          <w:lang w:val="ka-GE"/>
        </w:rPr>
        <w:t>“</w:t>
      </w:r>
      <w:r>
        <w:rPr>
          <w:noProof/>
          <w:sz w:val="14"/>
          <w:szCs w:val="14"/>
          <w:lang w:val="ka-GE"/>
        </w:rPr>
        <w:t xml:space="preserve">). იმ შემთხვევაში, თუ </w:t>
      </w:r>
      <w:r>
        <w:rPr>
          <w:b/>
          <w:bCs/>
          <w:noProof/>
          <w:sz w:val="14"/>
          <w:szCs w:val="14"/>
          <w:lang w:val="ka-GE"/>
        </w:rPr>
        <w:t>ბანკი</w:t>
      </w:r>
      <w:r>
        <w:rPr>
          <w:noProof/>
          <w:sz w:val="14"/>
          <w:szCs w:val="14"/>
          <w:lang w:val="ka-GE"/>
        </w:rPr>
        <w:t xml:space="preserve"> ვერ შეძლებს ვერც </w:t>
      </w:r>
      <w:r>
        <w:rPr>
          <w:b/>
          <w:bCs/>
          <w:noProof/>
          <w:sz w:val="14"/>
          <w:szCs w:val="14"/>
          <w:lang w:val="ka-GE"/>
        </w:rPr>
        <w:t>ინჟინერთან</w:t>
      </w:r>
      <w:r>
        <w:rPr>
          <w:noProof/>
          <w:sz w:val="14"/>
          <w:szCs w:val="14"/>
          <w:lang w:val="ka-GE"/>
        </w:rPr>
        <w:t xml:space="preserve"> და ვერც </w:t>
      </w:r>
      <w:r>
        <w:rPr>
          <w:b/>
          <w:noProof/>
          <w:sz w:val="14"/>
          <w:szCs w:val="14"/>
          <w:lang w:val="ka-GE"/>
        </w:rPr>
        <w:t xml:space="preserve">სათადარიგო </w:t>
      </w:r>
      <w:r>
        <w:rPr>
          <w:b/>
          <w:bCs/>
          <w:noProof/>
          <w:sz w:val="14"/>
          <w:szCs w:val="14"/>
          <w:lang w:val="ka-GE"/>
        </w:rPr>
        <w:t>ინჟინერთან</w:t>
      </w:r>
      <w:r>
        <w:rPr>
          <w:noProof/>
          <w:sz w:val="14"/>
          <w:szCs w:val="14"/>
          <w:lang w:val="ka-GE"/>
        </w:rPr>
        <w:t xml:space="preserve"> დაკავშირებას, ინციდენტი, შემდგომი მოგვარებისთვის დარეგისტრირდება </w:t>
      </w:r>
      <w:r>
        <w:rPr>
          <w:b/>
          <w:bCs/>
          <w:noProof/>
          <w:sz w:val="14"/>
          <w:szCs w:val="14"/>
          <w:lang w:val="ka-GE"/>
        </w:rPr>
        <w:t>კონტრაჰენტის</w:t>
      </w:r>
      <w:r>
        <w:rPr>
          <w:noProof/>
          <w:sz w:val="14"/>
          <w:szCs w:val="14"/>
          <w:lang w:val="ka-GE"/>
        </w:rPr>
        <w:t xml:space="preserve"> მხარდაჭერის სამსახურში;</w:t>
      </w:r>
    </w:p>
    <w:p w14:paraId="70AEDD19" w14:textId="34BF9AA6" w:rsidR="009C1422" w:rsidRDefault="009C1422" w:rsidP="009C1422">
      <w:pPr>
        <w:pStyle w:val="ListParagraph"/>
        <w:numPr>
          <w:ilvl w:val="1"/>
          <w:numId w:val="24"/>
        </w:numPr>
        <w:tabs>
          <w:tab w:val="left" w:pos="435"/>
        </w:tabs>
        <w:spacing w:after="60"/>
        <w:ind w:left="342" w:hanging="342"/>
        <w:contextualSpacing w:val="0"/>
        <w:rPr>
          <w:noProof/>
          <w:sz w:val="14"/>
          <w:szCs w:val="14"/>
          <w:lang w:val="ka-GE"/>
        </w:rPr>
      </w:pPr>
      <w:r>
        <w:rPr>
          <w:noProof/>
          <w:sz w:val="14"/>
          <w:szCs w:val="14"/>
          <w:lang w:val="ka-GE"/>
        </w:rPr>
        <w:t xml:space="preserve">„Cisco“-ს მხრიდან გამოყოფილი სპეციალისტი -„High-Touch Operations Manager“ (შემდგომში - </w:t>
      </w:r>
      <w:r>
        <w:rPr>
          <w:b/>
          <w:bCs/>
          <w:noProof/>
          <w:sz w:val="14"/>
          <w:szCs w:val="14"/>
          <w:lang w:val="ka-GE"/>
        </w:rPr>
        <w:t>„მენეჯერი“</w:t>
      </w:r>
      <w:r>
        <w:rPr>
          <w:noProof/>
          <w:sz w:val="14"/>
          <w:szCs w:val="14"/>
          <w:lang w:val="ka-GE"/>
        </w:rPr>
        <w:t>) „Severity-1“ და „Severity-2“ ინციდენტების დადგომის შემთხვევაში, გაწევს ინციდენტის მენეჯმენტის მომსახურებას, მომხდარი ინციდენტისა და მისი შემდგომი მოგვარების მენეჯმენტური მხარდაჭერის კუთხით;</w:t>
      </w:r>
    </w:p>
    <w:p w14:paraId="7F64F5EC" w14:textId="77777777" w:rsidR="009C1422" w:rsidRDefault="009C1422" w:rsidP="009C1422">
      <w:pPr>
        <w:pStyle w:val="ListParagraph"/>
        <w:numPr>
          <w:ilvl w:val="0"/>
          <w:numId w:val="24"/>
        </w:numPr>
        <w:tabs>
          <w:tab w:val="left" w:pos="435"/>
        </w:tabs>
        <w:spacing w:after="60"/>
        <w:ind w:left="342" w:hanging="342"/>
        <w:contextualSpacing w:val="0"/>
        <w:rPr>
          <w:noProof/>
          <w:sz w:val="14"/>
          <w:szCs w:val="14"/>
          <w:lang w:val="ka-GE"/>
        </w:rPr>
      </w:pPr>
      <w:r>
        <w:rPr>
          <w:noProof/>
          <w:sz w:val="14"/>
          <w:szCs w:val="14"/>
          <w:lang w:val="ka-GE"/>
        </w:rPr>
        <w:t xml:space="preserve">ნახევარ წელიწადში ერთხელ, ჩაატაროს ტექნიკური შემოწმების სამუშაოები, რომლის ფარგლებშიც </w:t>
      </w:r>
      <w:r>
        <w:rPr>
          <w:b/>
          <w:bCs/>
          <w:noProof/>
          <w:sz w:val="14"/>
          <w:szCs w:val="14"/>
          <w:lang w:val="ka-GE"/>
        </w:rPr>
        <w:t>ბანკი</w:t>
      </w:r>
      <w:r>
        <w:rPr>
          <w:noProof/>
          <w:sz w:val="14"/>
          <w:szCs w:val="14"/>
          <w:lang w:val="ka-GE"/>
        </w:rPr>
        <w:t xml:space="preserve"> მიიღებს შემდეგი სახის მომსახურებებსა და დოკუმენტებს:</w:t>
      </w:r>
    </w:p>
    <w:p w14:paraId="5F3B69E0" w14:textId="77777777" w:rsidR="009C1422" w:rsidRDefault="009C1422" w:rsidP="009C1422">
      <w:pPr>
        <w:pStyle w:val="ListParagraph"/>
        <w:numPr>
          <w:ilvl w:val="1"/>
          <w:numId w:val="24"/>
        </w:numPr>
        <w:tabs>
          <w:tab w:val="left" w:pos="435"/>
        </w:tabs>
        <w:spacing w:after="60"/>
        <w:ind w:left="342" w:hanging="342"/>
        <w:contextualSpacing w:val="0"/>
        <w:rPr>
          <w:noProof/>
          <w:sz w:val="14"/>
          <w:szCs w:val="14"/>
          <w:lang w:val="ka-GE"/>
        </w:rPr>
      </w:pPr>
      <w:r>
        <w:rPr>
          <w:noProof/>
          <w:sz w:val="14"/>
          <w:szCs w:val="14"/>
          <w:lang w:val="ka-GE"/>
        </w:rPr>
        <w:t>ქსელის მდგომარეობის შესახებ ანგარიშს („Network health-check report“), რომელშიც მითითებული იქნება პოტენციური პრობლემები, რომლებიც აქვს/შეიძლება ჰქონდეს მთლიანად ქსელს, მის ნაწილს, კონკრეტულ დანადგარებს, ან არხებს. ყოველ ინციდენტს მიენიჭება შესაბამისი პრიორიტეტი, იმისდა მიხედვით, თუ რა გავლენა შეიძლება ჰქონდეს მას ქსელის საერთო ფუნქციონირებაზე, ან თუ რა დონის (დაბალი/საშუალო/მაღალი) რისკს უქმნის იგი სერვისების სრულყოფილად მიწოდებას;</w:t>
      </w:r>
    </w:p>
    <w:p w14:paraId="05599C0E" w14:textId="77777777" w:rsidR="009C1422" w:rsidRDefault="009C1422" w:rsidP="009C1422">
      <w:pPr>
        <w:pStyle w:val="ListParagraph"/>
        <w:numPr>
          <w:ilvl w:val="1"/>
          <w:numId w:val="24"/>
        </w:numPr>
        <w:tabs>
          <w:tab w:val="left" w:pos="435"/>
        </w:tabs>
        <w:spacing w:after="60"/>
        <w:ind w:left="342" w:hanging="342"/>
        <w:contextualSpacing w:val="0"/>
        <w:rPr>
          <w:noProof/>
          <w:sz w:val="14"/>
          <w:szCs w:val="14"/>
          <w:lang w:val="ka-GE"/>
        </w:rPr>
      </w:pPr>
      <w:r>
        <w:rPr>
          <w:noProof/>
          <w:sz w:val="14"/>
          <w:szCs w:val="14"/>
          <w:lang w:val="ka-GE"/>
        </w:rPr>
        <w:t>ქსელის უსაფრთხოების შესახებ ანგარიშს („Network security review“), რომელშიც მითითებული იქნება პოტენციური პრობლემები, რომლებიც აქვს/შეიძლება ჰქონდეს მთლიანად ქსელს, მის ნაწილს, კონკრეტულ დანადგარებს, ან არხებს. ყოველ შემთხვევას, მიენიჭება შესაბამისი პრიორიტეტი, იმისდა მიხედვით, თუ რა გავლენა შეიძლება ჰქონდეს მას ქსელის საერთო ფუნქციონირებაზე, ან თუ რა დონის (დაბალი/საშუალო/მაღალი) რისკს უქმნის იგი სერვისების სრულყოფილად მიწოდებას;</w:t>
      </w:r>
    </w:p>
    <w:p w14:paraId="59C48B38" w14:textId="77777777" w:rsidR="009C1422" w:rsidRDefault="009C1422" w:rsidP="009C1422">
      <w:pPr>
        <w:pStyle w:val="ListParagraph"/>
        <w:numPr>
          <w:ilvl w:val="1"/>
          <w:numId w:val="24"/>
        </w:numPr>
        <w:tabs>
          <w:tab w:val="left" w:pos="435"/>
        </w:tabs>
        <w:spacing w:after="60"/>
        <w:ind w:left="342" w:hanging="342"/>
        <w:contextualSpacing w:val="0"/>
        <w:rPr>
          <w:noProof/>
          <w:sz w:val="14"/>
          <w:szCs w:val="14"/>
          <w:lang w:val="ka-GE"/>
        </w:rPr>
      </w:pPr>
      <w:r>
        <w:rPr>
          <w:b/>
          <w:bCs/>
          <w:noProof/>
          <w:sz w:val="14"/>
          <w:szCs w:val="14"/>
          <w:lang w:val="ka-GE"/>
        </w:rPr>
        <w:t>ბანკის</w:t>
      </w:r>
      <w:r>
        <w:rPr>
          <w:noProof/>
          <w:sz w:val="14"/>
          <w:szCs w:val="14"/>
          <w:lang w:val="ka-GE"/>
        </w:rPr>
        <w:t xml:space="preserve"> დანადგარების შესახებ ანგარიშს („Inventory and environment assessment“), სადაც მითითებული იქნება დანადგარების მოდელები, განთავსების ადგილები, “Cisco SmartNet”-თან აქტიური კონტრაქტის არსებობა, ოპერაციული სისტემის ვერსია და დანადგარ(ებ)ის დატვირთვა (თუ </w:t>
      </w:r>
      <w:r>
        <w:rPr>
          <w:b/>
          <w:bCs/>
          <w:noProof/>
          <w:sz w:val="14"/>
          <w:szCs w:val="14"/>
          <w:lang w:val="ka-GE"/>
        </w:rPr>
        <w:t>ბანკს</w:t>
      </w:r>
      <w:r>
        <w:rPr>
          <w:noProof/>
          <w:sz w:val="14"/>
          <w:szCs w:val="14"/>
          <w:lang w:val="ka-GE"/>
        </w:rPr>
        <w:t xml:space="preserve"> აქვს ლიცენზია „Cisco Prime” პროგრამულ უზრუნველყოფაზე). საჭიროების შემთხვევაში, მითითებული იქნება რეკომენდაციები პროგრამული უზრუნველყოფის შეცვალზე, დანადგარების განახლებაზე (იმ შემთხვევაში, თუ „Cisco“ გამოაცხადებს კონკრეტული დანადგარის “End of Sale”/”End of Life” დასრულებას). ყოველ რეკომენდაციას ექნება დაბალი, საშუალო ან მაღალი პრიორიტეტი;</w:t>
      </w:r>
    </w:p>
    <w:p w14:paraId="641DBDC8" w14:textId="77777777" w:rsidR="009C1422" w:rsidRDefault="009C1422" w:rsidP="009C1422">
      <w:pPr>
        <w:pStyle w:val="ListParagraph"/>
        <w:numPr>
          <w:ilvl w:val="1"/>
          <w:numId w:val="24"/>
        </w:numPr>
        <w:tabs>
          <w:tab w:val="left" w:pos="435"/>
        </w:tabs>
        <w:spacing w:after="60"/>
        <w:ind w:left="342" w:hanging="342"/>
        <w:contextualSpacing w:val="0"/>
        <w:rPr>
          <w:noProof/>
          <w:sz w:val="14"/>
          <w:szCs w:val="14"/>
          <w:lang w:val="ka-GE"/>
        </w:rPr>
      </w:pPr>
      <w:r>
        <w:rPr>
          <w:noProof/>
          <w:sz w:val="14"/>
          <w:szCs w:val="14"/>
          <w:lang w:val="ka-GE"/>
        </w:rPr>
        <w:t>საერთო დოკუმენტს („Process and technology optimization“), რომელშიც მოცემულია ზემოთ ჩამოთვლილი მომსახურებების გაწევის („Network health-check report“, „Network security review“ და „Inventory and environment assessment“) შედეგები და რეკომენდაციები ტოპოლოგიის, გამოყენებული ტექნოლოგიის ან მისი კომპონენტების შეცვლაზე, ასევე, რეკომენდაციები იმ ოპერაციული პროცესების შესახებ, რომლებიც შეიძლება აბრკოლებდნენ ქსელის ოპტიმალურ ფუნქციონირებას;</w:t>
      </w:r>
    </w:p>
    <w:p w14:paraId="640684B6" w14:textId="77777777" w:rsidR="009C1422" w:rsidRDefault="009C1422" w:rsidP="009C1422">
      <w:pPr>
        <w:pStyle w:val="ListParagraph"/>
        <w:numPr>
          <w:ilvl w:val="0"/>
          <w:numId w:val="24"/>
        </w:numPr>
        <w:tabs>
          <w:tab w:val="left" w:pos="435"/>
        </w:tabs>
        <w:spacing w:after="60"/>
        <w:ind w:left="342" w:hanging="342"/>
        <w:contextualSpacing w:val="0"/>
        <w:rPr>
          <w:noProof/>
          <w:sz w:val="14"/>
          <w:szCs w:val="14"/>
          <w:lang w:val="ka-GE"/>
        </w:rPr>
      </w:pPr>
      <w:r>
        <w:rPr>
          <w:b/>
          <w:noProof/>
          <w:sz w:val="14"/>
          <w:szCs w:val="14"/>
          <w:lang w:val="ka-GE"/>
        </w:rPr>
        <w:t xml:space="preserve">ბანკის </w:t>
      </w:r>
      <w:r>
        <w:rPr>
          <w:noProof/>
          <w:sz w:val="14"/>
          <w:szCs w:val="14"/>
          <w:lang w:val="ka-GE"/>
        </w:rPr>
        <w:t>მოთხოვნის შემთხვევაში და საფუძველზე,</w:t>
      </w:r>
      <w:r>
        <w:rPr>
          <w:b/>
          <w:bCs/>
          <w:noProof/>
          <w:sz w:val="14"/>
          <w:szCs w:val="14"/>
          <w:lang w:val="ka-GE"/>
        </w:rPr>
        <w:t xml:space="preserve"> </w:t>
      </w:r>
      <w:r>
        <w:rPr>
          <w:bCs/>
          <w:noProof/>
          <w:sz w:val="14"/>
          <w:szCs w:val="14"/>
          <w:lang w:val="ka-GE"/>
        </w:rPr>
        <w:t>უზრუნველჰყოს</w:t>
      </w:r>
      <w:r>
        <w:rPr>
          <w:noProof/>
          <w:sz w:val="14"/>
          <w:szCs w:val="14"/>
          <w:lang w:val="ka-GE"/>
        </w:rPr>
        <w:t xml:space="preserve"> „Knowledge Sharing Workshops“-ის (შემდგომში - </w:t>
      </w:r>
      <w:r>
        <w:rPr>
          <w:b/>
          <w:noProof/>
          <w:sz w:val="14"/>
          <w:szCs w:val="14"/>
          <w:lang w:val="ka-GE"/>
        </w:rPr>
        <w:t>ვორქშოპ(ებ)ი</w:t>
      </w:r>
      <w:r>
        <w:rPr>
          <w:noProof/>
          <w:sz w:val="14"/>
          <w:szCs w:val="14"/>
          <w:lang w:val="ka-GE"/>
        </w:rPr>
        <w:t xml:space="preserve">) ჩატარება, რომლებიც, </w:t>
      </w:r>
      <w:r>
        <w:rPr>
          <w:b/>
          <w:bCs/>
          <w:noProof/>
          <w:sz w:val="14"/>
          <w:szCs w:val="14"/>
          <w:lang w:val="ka-GE"/>
        </w:rPr>
        <w:t xml:space="preserve">მომსახურების </w:t>
      </w:r>
      <w:r>
        <w:rPr>
          <w:bCs/>
          <w:noProof/>
          <w:sz w:val="14"/>
          <w:szCs w:val="14"/>
          <w:lang w:val="ka-GE"/>
        </w:rPr>
        <w:t>შესრულების ვადის</w:t>
      </w:r>
      <w:r>
        <w:rPr>
          <w:noProof/>
          <w:sz w:val="14"/>
          <w:szCs w:val="14"/>
          <w:lang w:val="ka-GE"/>
        </w:rPr>
        <w:t xml:space="preserve"> განმავლობაში შეიძლება ჩატარდეს არაუმეტეს ორჯერ და თითოეული მათგანი შეიძლება გაგრძელდეს არაუმეტეს 3 (სამი) სამუშაო დღისა. ხსენებული „ვორქშოპის“ ფარგლებში, განსახილველი საკითხი წინასწარ უნდა შეთანხმდეს </w:t>
      </w:r>
      <w:r>
        <w:rPr>
          <w:b/>
          <w:bCs/>
          <w:noProof/>
          <w:sz w:val="14"/>
          <w:szCs w:val="14"/>
          <w:lang w:val="ka-GE"/>
        </w:rPr>
        <w:t xml:space="preserve">კონტრაჰენტთან </w:t>
      </w:r>
      <w:r>
        <w:rPr>
          <w:noProof/>
          <w:sz w:val="14"/>
          <w:szCs w:val="14"/>
          <w:lang w:val="ka-GE"/>
        </w:rPr>
        <w:t xml:space="preserve">და არ უნდა სცდებოდეს „Cisco“-ს ტექნოლოგიებთან, ან კორპორატიული ქსელების მოწყობის ტექნოლოგიასთან/პრინციპებთან დაკავშირებულ საკითხებს. </w:t>
      </w:r>
      <w:r>
        <w:rPr>
          <w:b/>
          <w:bCs/>
          <w:noProof/>
          <w:sz w:val="14"/>
          <w:szCs w:val="14"/>
          <w:lang w:val="ka-GE"/>
        </w:rPr>
        <w:t xml:space="preserve">ბანკი </w:t>
      </w:r>
      <w:r>
        <w:rPr>
          <w:noProof/>
          <w:sz w:val="14"/>
          <w:szCs w:val="14"/>
          <w:lang w:val="ka-GE"/>
        </w:rPr>
        <w:t xml:space="preserve">უფლებამოსილია </w:t>
      </w:r>
      <w:r>
        <w:rPr>
          <w:b/>
          <w:noProof/>
          <w:sz w:val="14"/>
          <w:szCs w:val="14"/>
          <w:lang w:val="ka-GE"/>
        </w:rPr>
        <w:t>ვოქრშოპების</w:t>
      </w:r>
      <w:r>
        <w:rPr>
          <w:noProof/>
          <w:sz w:val="14"/>
          <w:szCs w:val="14"/>
          <w:lang w:val="ka-GE"/>
        </w:rPr>
        <w:t xml:space="preserve"> ნაცვლად, </w:t>
      </w:r>
      <w:r>
        <w:rPr>
          <w:b/>
          <w:bCs/>
          <w:noProof/>
          <w:sz w:val="14"/>
          <w:szCs w:val="14"/>
          <w:lang w:val="ka-GE"/>
        </w:rPr>
        <w:t xml:space="preserve">კონტრაჰენტისგან </w:t>
      </w:r>
      <w:r>
        <w:rPr>
          <w:noProof/>
          <w:sz w:val="14"/>
          <w:szCs w:val="14"/>
          <w:lang w:val="ka-GE"/>
        </w:rPr>
        <w:t>მოითხოვოს საერთო საკონსულტაციო მომსახურების მიღება, რომლებიც ასევე არ უნდა სცდებოდეს „Cisco“-ს ტექნოლოგიებთან, ან კორპორატიული ქსელების მოწყობის ტექნოლოგიასთან/პრინციპებთან დაკავშირებულ საკითხებს. ასეთი საკონსულტაციო მომსახურების საერთო ხანგრძლივობა არ უნდა აღემატებოდეს ექვს სამუშაო დღეს;</w:t>
      </w:r>
    </w:p>
    <w:p w14:paraId="691E18E6" w14:textId="531B006D" w:rsidR="009C1422" w:rsidRDefault="009C1422" w:rsidP="009C1422">
      <w:pPr>
        <w:pStyle w:val="ListParagraph"/>
        <w:numPr>
          <w:ilvl w:val="0"/>
          <w:numId w:val="24"/>
        </w:numPr>
        <w:tabs>
          <w:tab w:val="left" w:pos="435"/>
        </w:tabs>
        <w:spacing w:after="60"/>
        <w:ind w:left="342" w:hanging="342"/>
        <w:contextualSpacing w:val="0"/>
        <w:rPr>
          <w:noProof/>
          <w:sz w:val="14"/>
          <w:szCs w:val="14"/>
          <w:lang w:val="ka-GE"/>
        </w:rPr>
      </w:pPr>
      <w:r>
        <w:rPr>
          <w:bCs/>
          <w:noProof/>
          <w:sz w:val="14"/>
          <w:szCs w:val="14"/>
          <w:lang w:val="ka-GE"/>
        </w:rPr>
        <w:t xml:space="preserve">უზრუნველყოს, რომ </w:t>
      </w:r>
      <w:r>
        <w:rPr>
          <w:b/>
          <w:bCs/>
          <w:noProof/>
          <w:sz w:val="14"/>
          <w:szCs w:val="14"/>
          <w:lang w:val="ka-GE"/>
        </w:rPr>
        <w:t>ბანკმა</w:t>
      </w:r>
      <w:r>
        <w:rPr>
          <w:noProof/>
          <w:sz w:val="14"/>
          <w:szCs w:val="14"/>
          <w:lang w:val="ka-GE"/>
        </w:rPr>
        <w:t xml:space="preserve"> შეძლოს შეტყობინებების მიღება, ამ უკანასკნელთან დამონტაჟებული დანადგარების ან პროგრამული უზრუნველყოფის კრიტიკული დაუცველობის აღმოჩენასთან დაკავშირებით; </w:t>
      </w:r>
    </w:p>
    <w:p w14:paraId="42AE2724" w14:textId="77777777" w:rsidR="009C1422" w:rsidRDefault="009C1422" w:rsidP="009C1422">
      <w:pPr>
        <w:pStyle w:val="ListParagraph"/>
        <w:numPr>
          <w:ilvl w:val="0"/>
          <w:numId w:val="24"/>
        </w:numPr>
        <w:tabs>
          <w:tab w:val="left" w:pos="435"/>
        </w:tabs>
        <w:spacing w:after="60"/>
        <w:ind w:left="342" w:hanging="342"/>
        <w:contextualSpacing w:val="0"/>
        <w:rPr>
          <w:noProof/>
          <w:sz w:val="14"/>
          <w:szCs w:val="14"/>
          <w:lang w:val="ka-GE"/>
        </w:rPr>
      </w:pPr>
      <w:r>
        <w:rPr>
          <w:b/>
          <w:bCs/>
          <w:noProof/>
          <w:sz w:val="14"/>
          <w:szCs w:val="14"/>
          <w:lang w:val="ka-GE"/>
        </w:rPr>
        <w:t>ბანკის</w:t>
      </w:r>
      <w:r>
        <w:rPr>
          <w:noProof/>
          <w:sz w:val="14"/>
          <w:szCs w:val="14"/>
          <w:lang w:val="ka-GE"/>
        </w:rPr>
        <w:t xml:space="preserve"> მოთხოვნის შემთხვევაში, ტექნიკური შემოწმების სამუშაოები ფარგლებში, გაუწიოს მას შედმეგი მომსახურებები:</w:t>
      </w:r>
    </w:p>
    <w:p w14:paraId="2E206606" w14:textId="77777777" w:rsidR="009C1422" w:rsidRDefault="009C1422" w:rsidP="009C1422">
      <w:pPr>
        <w:pStyle w:val="ListParagraph"/>
        <w:numPr>
          <w:ilvl w:val="1"/>
          <w:numId w:val="24"/>
        </w:numPr>
        <w:tabs>
          <w:tab w:val="left" w:pos="435"/>
        </w:tabs>
        <w:spacing w:after="60"/>
        <w:ind w:left="342" w:hanging="342"/>
        <w:contextualSpacing w:val="0"/>
        <w:rPr>
          <w:sz w:val="14"/>
          <w:szCs w:val="14"/>
          <w:lang w:val="ka-GE"/>
        </w:rPr>
      </w:pPr>
      <w:r>
        <w:rPr>
          <w:sz w:val="14"/>
          <w:szCs w:val="14"/>
          <w:lang w:val="ka-GE"/>
        </w:rPr>
        <w:t xml:space="preserve">„Configuration and capacity planning” - ანალიზი და რეკომენდაციების გაწევა </w:t>
      </w:r>
      <w:r>
        <w:rPr>
          <w:b/>
          <w:bCs/>
          <w:sz w:val="14"/>
          <w:szCs w:val="14"/>
          <w:lang w:val="ka-GE"/>
        </w:rPr>
        <w:t>ბანკის</w:t>
      </w:r>
      <w:r>
        <w:rPr>
          <w:sz w:val="14"/>
          <w:szCs w:val="14"/>
          <w:lang w:val="ka-GE"/>
        </w:rPr>
        <w:t xml:space="preserve"> ქსელთან დაკავშირებული დანადგარების კონფიგურაციაზე, ან არხების კავშირის გაფართოება/შეცვლასთან დაკავშირებით, ასევე, დანადგარების განახლებასთან და ლიცენზიების შესყიდვასთან დაკავშირებით, რაც ხელს შეუწყობს მთლიანი ქსელის (ან მისი კონკრეტული სეგმენტის) საერთო ფუნქციონირების დონის გაზრდას;</w:t>
      </w:r>
    </w:p>
    <w:p w14:paraId="2BF6B4C5" w14:textId="77777777" w:rsidR="009C1422" w:rsidRDefault="009C1422" w:rsidP="009C1422">
      <w:pPr>
        <w:pStyle w:val="ListParagraph"/>
        <w:numPr>
          <w:ilvl w:val="1"/>
          <w:numId w:val="24"/>
        </w:numPr>
        <w:tabs>
          <w:tab w:val="left" w:pos="435"/>
        </w:tabs>
        <w:spacing w:after="60"/>
        <w:ind w:left="342" w:hanging="342"/>
        <w:contextualSpacing w:val="0"/>
        <w:rPr>
          <w:sz w:val="14"/>
          <w:szCs w:val="14"/>
          <w:lang w:val="ka-GE"/>
        </w:rPr>
      </w:pPr>
      <w:r>
        <w:rPr>
          <w:sz w:val="14"/>
          <w:szCs w:val="14"/>
          <w:lang w:val="ka-GE"/>
        </w:rPr>
        <w:t>„Migration and Disaster recovery planning“ - არსებული „Migration and Disaster recovery“ გეგმის ანალიზი. რეკომენდაციების გაწევა ხსენებული გეგმის ბიზნეს ამოცანებთან მისადაგებასთან დაკავშირებით, ასევე, იმ რეკომენდაციების გაწევა, რომლებიც შემუშავებულია მწარმოებლის მიერ და ინდუსტრიის საუკეთესო პრაქტიკის შესაბამისად;</w:t>
      </w:r>
    </w:p>
    <w:p w14:paraId="0FFBD630" w14:textId="3281B312" w:rsidR="007878E8" w:rsidRPr="007878E8" w:rsidRDefault="009C1422" w:rsidP="009C1422">
      <w:pPr>
        <w:jc w:val="left"/>
      </w:pPr>
      <w:r>
        <w:rPr>
          <w:sz w:val="14"/>
          <w:szCs w:val="14"/>
          <w:lang w:val="ka-GE"/>
        </w:rPr>
        <w:t xml:space="preserve">განვითარების გეგმის შედგენა - კონსულტაციების გაწევა იმ გეგმის შემუშავების პროცესში, რომელიც საჭიროა </w:t>
      </w:r>
      <w:r>
        <w:rPr>
          <w:b/>
          <w:bCs/>
          <w:sz w:val="14"/>
          <w:szCs w:val="14"/>
          <w:lang w:val="ka-GE"/>
        </w:rPr>
        <w:t xml:space="preserve">ბანკის </w:t>
      </w:r>
      <w:r>
        <w:rPr>
          <w:sz w:val="14"/>
          <w:szCs w:val="14"/>
          <w:lang w:val="ka-GE"/>
        </w:rPr>
        <w:t>ინფრასტრუქტურის, მისი ბიზნეს ამოცანების და რეგულაციების მოთხოვნების შესაბამისად განვითარებისთვის.</w:t>
      </w:r>
    </w:p>
    <w:p w14:paraId="741E1A33"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4DEC482A" w14:textId="77777777" w:rsidR="009C1422" w:rsidRDefault="009C1422">
      <w:pPr>
        <w:jc w:val="left"/>
        <w:rPr>
          <w:lang w:val="ka-GE"/>
        </w:rPr>
      </w:pPr>
    </w:p>
    <w:p w14:paraId="7C9942AE" w14:textId="77777777" w:rsidR="009C1422" w:rsidRDefault="009C1422">
      <w:pPr>
        <w:jc w:val="left"/>
        <w:rPr>
          <w:lang w:val="ka-GE"/>
        </w:rPr>
      </w:pPr>
    </w:p>
    <w:p w14:paraId="1E9FFBBC" w14:textId="77777777" w:rsidR="009C1422" w:rsidRDefault="009C1422">
      <w:pPr>
        <w:jc w:val="left"/>
        <w:rPr>
          <w:lang w:val="ka-GE"/>
        </w:rPr>
      </w:pPr>
    </w:p>
    <w:p w14:paraId="7A890BC6" w14:textId="77777777" w:rsidR="009C1422" w:rsidRDefault="009C1422">
      <w:pPr>
        <w:jc w:val="left"/>
        <w:rPr>
          <w:lang w:val="ka-GE"/>
        </w:rPr>
      </w:pPr>
    </w:p>
    <w:p w14:paraId="769598C6" w14:textId="77777777" w:rsidR="009C1422" w:rsidRDefault="009C1422">
      <w:pPr>
        <w:jc w:val="left"/>
        <w:rPr>
          <w:lang w:val="ka-GE"/>
        </w:rPr>
      </w:pPr>
    </w:p>
    <w:p w14:paraId="6412C8B5" w14:textId="77777777" w:rsidR="009C1422" w:rsidRDefault="009C1422">
      <w:pPr>
        <w:jc w:val="left"/>
        <w:rPr>
          <w:lang w:val="ka-GE"/>
        </w:rPr>
      </w:pPr>
    </w:p>
    <w:p w14:paraId="3FAAAD6F" w14:textId="77777777" w:rsidR="009C1422" w:rsidRDefault="009C1422">
      <w:pPr>
        <w:jc w:val="left"/>
        <w:rPr>
          <w:lang w:val="ka-GE"/>
        </w:rPr>
      </w:pPr>
    </w:p>
    <w:p w14:paraId="11CC4176" w14:textId="77777777" w:rsidR="009C1422" w:rsidRDefault="009C1422">
      <w:pPr>
        <w:jc w:val="left"/>
        <w:rPr>
          <w:lang w:val="ka-GE"/>
        </w:rPr>
      </w:pPr>
    </w:p>
    <w:p w14:paraId="63F7FFF1" w14:textId="77777777" w:rsidR="009C1422" w:rsidRDefault="009C1422">
      <w:pPr>
        <w:jc w:val="left"/>
        <w:rPr>
          <w:lang w:val="ka-GE"/>
        </w:rPr>
      </w:pPr>
    </w:p>
    <w:p w14:paraId="3C22A39B" w14:textId="77777777" w:rsidR="009C1422" w:rsidRDefault="009C1422">
      <w:pPr>
        <w:jc w:val="left"/>
        <w:rPr>
          <w:lang w:val="ka-GE"/>
        </w:rPr>
      </w:pPr>
    </w:p>
    <w:p w14:paraId="17EB5018" w14:textId="77777777" w:rsidR="009C1422" w:rsidRDefault="009C1422">
      <w:pPr>
        <w:jc w:val="left"/>
        <w:rPr>
          <w:lang w:val="ka-GE"/>
        </w:rPr>
      </w:pPr>
    </w:p>
    <w:p w14:paraId="396C79F1" w14:textId="77777777" w:rsidR="009C1422" w:rsidRDefault="009C1422">
      <w:pPr>
        <w:jc w:val="left"/>
        <w:rPr>
          <w:lang w:val="ka-GE"/>
        </w:rPr>
      </w:pP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96CF8" w14:textId="77777777" w:rsidR="007F02B5" w:rsidRDefault="007F02B5" w:rsidP="002E7950">
      <w:r>
        <w:separator/>
      </w:r>
    </w:p>
  </w:endnote>
  <w:endnote w:type="continuationSeparator" w:id="0">
    <w:p w14:paraId="7C169957" w14:textId="77777777" w:rsidR="007F02B5" w:rsidRDefault="007F02B5"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8622A">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8622A">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C9BB1" w14:textId="77777777" w:rsidR="007F02B5" w:rsidRDefault="007F02B5" w:rsidP="002E7950">
      <w:r>
        <w:separator/>
      </w:r>
    </w:p>
  </w:footnote>
  <w:footnote w:type="continuationSeparator" w:id="0">
    <w:p w14:paraId="2399ADE4" w14:textId="77777777" w:rsidR="007F02B5" w:rsidRDefault="007F02B5" w:rsidP="002E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777278A"/>
    <w:multiLevelType w:val="multilevel"/>
    <w:tmpl w:val="CFAEDED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22A"/>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02B5"/>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A4E"/>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422"/>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69F"/>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0A8B"/>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2763277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choladze@bog.ge"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Bcholadze@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CD3223-8CAE-1045-A0C7-6AEA62BA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1427</Words>
  <Characters>8135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T</cp:lastModifiedBy>
  <cp:revision>4</cp:revision>
  <cp:lastPrinted>2019-10-17T14:03:00Z</cp:lastPrinted>
  <dcterms:created xsi:type="dcterms:W3CDTF">2020-11-12T09:22:00Z</dcterms:created>
  <dcterms:modified xsi:type="dcterms:W3CDTF">2020-11-20T08:12:00Z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